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82" w:rsidRPr="009F5582" w:rsidRDefault="00037050" w:rsidP="009F5582">
      <w:pPr>
        <w:spacing w:after="0"/>
        <w:rPr>
          <w:rFonts w:eastAsia="Times New Roman" w:cs="Arial"/>
          <w:lang w:val="en-GB"/>
        </w:rPr>
      </w:pPr>
      <w:r w:rsidRPr="009F5582">
        <w:rPr>
          <w:rFonts w:eastAsia="Times New Roman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FE89B9B" wp14:editId="09A657C3">
            <wp:simplePos x="0" y="0"/>
            <wp:positionH relativeFrom="column">
              <wp:posOffset>1276350</wp:posOffset>
            </wp:positionH>
            <wp:positionV relativeFrom="paragraph">
              <wp:posOffset>57150</wp:posOffset>
            </wp:positionV>
            <wp:extent cx="453390" cy="571500"/>
            <wp:effectExtent l="0" t="0" r="3810" b="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82" w:rsidRPr="009F5582" w:rsidRDefault="009F5582" w:rsidP="009F5582">
      <w:pPr>
        <w:spacing w:after="0"/>
        <w:rPr>
          <w:rFonts w:eastAsia="Times New Roman" w:cs="Arial"/>
          <w:lang w:val="en-GB"/>
        </w:rPr>
      </w:pPr>
    </w:p>
    <w:p w:rsidR="009F5582" w:rsidRPr="009F5582" w:rsidRDefault="00037050" w:rsidP="009F5582">
      <w:pPr>
        <w:spacing w:after="0"/>
        <w:rPr>
          <w:rFonts w:eastAsia="Times New Roman" w:cs="Arial"/>
          <w:lang w:val="en-GB"/>
        </w:rPr>
      </w:pPr>
      <w:r w:rsidRPr="009F5582">
        <w:rPr>
          <w:rFonts w:eastAsia="Times New Roman" w:cs="Arial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285276A4" wp14:editId="7E9E4113">
            <wp:simplePos x="0" y="0"/>
            <wp:positionH relativeFrom="margin">
              <wp:posOffset>157480</wp:posOffset>
            </wp:positionH>
            <wp:positionV relativeFrom="paragraph">
              <wp:posOffset>6350</wp:posOffset>
            </wp:positionV>
            <wp:extent cx="387571" cy="507365"/>
            <wp:effectExtent l="0" t="0" r="0" b="6985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1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582" w:rsidRPr="009F5582" w:rsidRDefault="009F5582" w:rsidP="009F5582">
      <w:pPr>
        <w:spacing w:after="0"/>
        <w:rPr>
          <w:rFonts w:eastAsia="Times New Roman" w:cs="Arial"/>
          <w:lang w:val="en-GB"/>
        </w:rPr>
      </w:pPr>
    </w:p>
    <w:p w:rsidR="009F5582" w:rsidRPr="009F5582" w:rsidRDefault="009F5582" w:rsidP="009F5582">
      <w:pPr>
        <w:spacing w:after="0"/>
        <w:rPr>
          <w:rFonts w:eastAsia="Times New Roman" w:cs="Arial"/>
          <w:b/>
          <w:bCs/>
          <w:lang w:val="en-GB"/>
        </w:rPr>
      </w:pPr>
      <w:r w:rsidRPr="009F5582">
        <w:rPr>
          <w:rFonts w:eastAsia="Times New Roman" w:cs="Arial"/>
          <w:b/>
          <w:bCs/>
          <w:lang w:val="en-GB"/>
        </w:rPr>
        <w:t xml:space="preserve">               REPUBLIKA HRVATSKA</w:t>
      </w:r>
    </w:p>
    <w:p w:rsidR="00F07ED5" w:rsidRDefault="009F5582" w:rsidP="009F5582">
      <w:pPr>
        <w:spacing w:after="0"/>
        <w:rPr>
          <w:rFonts w:eastAsia="Times New Roman" w:cs="Arial"/>
          <w:b/>
          <w:bCs/>
          <w:lang w:val="en-GB"/>
        </w:rPr>
      </w:pPr>
      <w:r w:rsidRPr="009F5582">
        <w:rPr>
          <w:rFonts w:eastAsia="Times New Roman" w:cs="Arial"/>
          <w:b/>
          <w:bCs/>
          <w:lang w:val="en-GB"/>
        </w:rPr>
        <w:t>BJELOVARSKO-BILOGORSKA ŽUPANIJA</w:t>
      </w:r>
      <w:r w:rsidRPr="009F5582">
        <w:rPr>
          <w:rFonts w:eastAsia="Times New Roman" w:cs="Arial"/>
          <w:b/>
          <w:bCs/>
          <w:lang w:val="en-GB"/>
        </w:rPr>
        <w:tab/>
      </w:r>
      <w:r w:rsidRPr="009F5582">
        <w:rPr>
          <w:rFonts w:eastAsia="Times New Roman" w:cs="Arial"/>
          <w:b/>
          <w:bCs/>
          <w:lang w:val="en-GB"/>
        </w:rPr>
        <w:tab/>
      </w:r>
      <w:r w:rsidRPr="009F5582">
        <w:rPr>
          <w:rFonts w:eastAsia="Times New Roman" w:cs="Arial"/>
          <w:b/>
          <w:bCs/>
          <w:lang w:val="en-GB"/>
        </w:rPr>
        <w:tab/>
      </w:r>
    </w:p>
    <w:p w:rsidR="009F5582" w:rsidRPr="009F5582" w:rsidRDefault="009F5582" w:rsidP="009F5582">
      <w:pPr>
        <w:spacing w:after="0"/>
        <w:rPr>
          <w:rFonts w:eastAsia="Times New Roman" w:cs="Arial"/>
          <w:b/>
          <w:bCs/>
        </w:rPr>
      </w:pPr>
      <w:r w:rsidRPr="009F5582">
        <w:rPr>
          <w:rFonts w:eastAsia="Times New Roman" w:cs="Arial"/>
          <w:b/>
          <w:bCs/>
          <w:lang w:val="en-GB"/>
        </w:rPr>
        <w:tab/>
        <w:t xml:space="preserve">       OPĆINA NOVA RAČA</w:t>
      </w:r>
      <w:r w:rsidRPr="009F5582">
        <w:rPr>
          <w:rFonts w:eastAsia="Times New Roman" w:cs="Arial"/>
          <w:b/>
          <w:bCs/>
          <w:lang w:val="en-GB"/>
        </w:rPr>
        <w:tab/>
        <w:t xml:space="preserve">           </w:t>
      </w:r>
      <w:r w:rsidRPr="009F5582">
        <w:rPr>
          <w:rFonts w:eastAsia="Times New Roman" w:cs="Arial"/>
          <w:b/>
        </w:rPr>
        <w:t xml:space="preserve">                              </w:t>
      </w:r>
    </w:p>
    <w:p w:rsidR="009F5582" w:rsidRDefault="009F5582" w:rsidP="009F5582">
      <w:pPr>
        <w:keepNext/>
        <w:spacing w:after="0"/>
        <w:outlineLvl w:val="2"/>
        <w:rPr>
          <w:rFonts w:eastAsia="Times New Roman" w:cs="Arial"/>
          <w:b/>
        </w:rPr>
      </w:pPr>
      <w:r w:rsidRPr="009F5582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</w:rPr>
        <w:t xml:space="preserve">       </w:t>
      </w:r>
      <w:r>
        <w:rPr>
          <w:rFonts w:eastAsia="Times New Roman" w:cs="Arial"/>
          <w:b/>
        </w:rPr>
        <w:tab/>
        <w:t xml:space="preserve">         OPĆINSKO VIJEĆE</w:t>
      </w:r>
    </w:p>
    <w:p w:rsidR="009F5582" w:rsidRDefault="009F5582" w:rsidP="009F5582">
      <w:pPr>
        <w:keepNext/>
        <w:spacing w:after="0"/>
        <w:outlineLvl w:val="2"/>
        <w:rPr>
          <w:rFonts w:eastAsia="Times New Roman" w:cs="Arial"/>
          <w:b/>
        </w:rPr>
      </w:pPr>
    </w:p>
    <w:p w:rsidR="009F5582" w:rsidRDefault="009F5582" w:rsidP="00037050">
      <w:pPr>
        <w:keepNext/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>Na temelju članka 14. stavak 4. Zakona o sprječavanju sukoba interesa („Narodne novine“ broj 26/11, 12/12, 126/12, 48/13 i 57/15) i članka 31. Statuta Općine Nova Rača („Županijski glasnik“ Bjelovarsko-bilogorske županije broj 9/13), Općinsko vijeće Općine Nova Rača na 19. sjednici održanoj 3. ožujka 2016. godine donosi</w:t>
      </w:r>
    </w:p>
    <w:p w:rsidR="009F5582" w:rsidRDefault="009F5582" w:rsidP="00037050">
      <w:pPr>
        <w:keepNext/>
        <w:spacing w:after="0"/>
        <w:outlineLvl w:val="2"/>
        <w:rPr>
          <w:rFonts w:eastAsia="Times New Roman" w:cs="Arial"/>
        </w:rPr>
      </w:pPr>
    </w:p>
    <w:p w:rsidR="009F5582" w:rsidRDefault="009F5582" w:rsidP="009F5582">
      <w:pPr>
        <w:keepNext/>
        <w:spacing w:after="0"/>
        <w:outlineLvl w:val="2"/>
        <w:rPr>
          <w:rFonts w:eastAsia="Times New Roman" w:cs="Arial"/>
        </w:rPr>
      </w:pPr>
    </w:p>
    <w:p w:rsidR="009F5582" w:rsidRPr="00037050" w:rsidRDefault="009F5582" w:rsidP="00037050">
      <w:pPr>
        <w:keepNext/>
        <w:spacing w:after="0"/>
        <w:jc w:val="center"/>
        <w:outlineLvl w:val="2"/>
        <w:rPr>
          <w:rFonts w:eastAsia="Times New Roman" w:cs="Arial"/>
          <w:b/>
        </w:rPr>
      </w:pPr>
      <w:r w:rsidRPr="00037050">
        <w:rPr>
          <w:rFonts w:eastAsia="Times New Roman" w:cs="Arial"/>
          <w:b/>
        </w:rPr>
        <w:t>O D L U K U</w:t>
      </w:r>
    </w:p>
    <w:p w:rsidR="009F5582" w:rsidRPr="00037050" w:rsidRDefault="009F5582" w:rsidP="00037050">
      <w:pPr>
        <w:keepNext/>
        <w:spacing w:after="0"/>
        <w:jc w:val="center"/>
        <w:outlineLvl w:val="2"/>
        <w:rPr>
          <w:rFonts w:eastAsia="Times New Roman" w:cs="Arial"/>
          <w:b/>
        </w:rPr>
      </w:pPr>
      <w:r w:rsidRPr="00037050">
        <w:rPr>
          <w:rFonts w:eastAsia="Times New Roman" w:cs="Arial"/>
          <w:b/>
        </w:rPr>
        <w:t>o popisu pravnih osoba od posebnog interesa za Općinu Nova Rača</w:t>
      </w:r>
    </w:p>
    <w:p w:rsidR="009F5582" w:rsidRDefault="009F5582" w:rsidP="009F5582">
      <w:pPr>
        <w:keepNext/>
        <w:spacing w:after="0"/>
        <w:outlineLvl w:val="2"/>
        <w:rPr>
          <w:rFonts w:eastAsia="Times New Roman" w:cs="Arial"/>
        </w:rPr>
      </w:pPr>
    </w:p>
    <w:p w:rsidR="00037050" w:rsidRDefault="00037050" w:rsidP="009F5582">
      <w:pPr>
        <w:keepNext/>
        <w:spacing w:after="0"/>
        <w:outlineLvl w:val="2"/>
        <w:rPr>
          <w:rFonts w:eastAsia="Times New Roman" w:cs="Arial"/>
        </w:rPr>
      </w:pPr>
    </w:p>
    <w:p w:rsidR="009F5582" w:rsidRPr="00037050" w:rsidRDefault="009F5582" w:rsidP="004F0A51">
      <w:pPr>
        <w:keepNext/>
        <w:spacing w:after="0"/>
        <w:jc w:val="center"/>
        <w:outlineLvl w:val="2"/>
        <w:rPr>
          <w:rFonts w:eastAsia="Times New Roman" w:cs="Arial"/>
          <w:b/>
        </w:rPr>
      </w:pPr>
      <w:r w:rsidRPr="00037050">
        <w:rPr>
          <w:rFonts w:eastAsia="Times New Roman" w:cs="Arial"/>
          <w:b/>
        </w:rPr>
        <w:t>Članak 1.</w:t>
      </w:r>
    </w:p>
    <w:p w:rsidR="009F5582" w:rsidRDefault="009F5582" w:rsidP="00037050">
      <w:pPr>
        <w:keepNext/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>Ovom Odlukom utvrđuje se popis pravnih osoba od posebnog interesa za Općinu Nova Rača.</w:t>
      </w:r>
    </w:p>
    <w:p w:rsidR="009F5582" w:rsidRDefault="009F5582" w:rsidP="00037050">
      <w:pPr>
        <w:keepNext/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 xml:space="preserve">Popis obuhvaća trgovačka društva u kojima Općina Nova Rača ima dionice ili udjele u vlasništvu (kapitalu društva) kao i </w:t>
      </w:r>
      <w:r w:rsidR="00262744">
        <w:rPr>
          <w:rFonts w:eastAsia="Times New Roman" w:cs="Arial"/>
        </w:rPr>
        <w:t>u</w:t>
      </w:r>
      <w:bookmarkStart w:id="0" w:name="_GoBack"/>
      <w:bookmarkEnd w:id="0"/>
      <w:r>
        <w:rPr>
          <w:rFonts w:eastAsia="Times New Roman" w:cs="Arial"/>
        </w:rPr>
        <w:t>stanove kojih je Općina Nova Rača osnivač ili jedan od osnivača.</w:t>
      </w:r>
    </w:p>
    <w:p w:rsidR="00037050" w:rsidRDefault="00037050" w:rsidP="00037050">
      <w:pPr>
        <w:keepNext/>
        <w:spacing w:after="0"/>
        <w:outlineLvl w:val="2"/>
        <w:rPr>
          <w:rFonts w:eastAsia="Times New Roman" w:cs="Arial"/>
        </w:rPr>
      </w:pPr>
    </w:p>
    <w:p w:rsidR="00037050" w:rsidRDefault="00037050" w:rsidP="00037050">
      <w:pPr>
        <w:keepNext/>
        <w:spacing w:after="0"/>
        <w:outlineLvl w:val="2"/>
        <w:rPr>
          <w:rFonts w:eastAsia="Times New Roman" w:cs="Arial"/>
        </w:rPr>
      </w:pPr>
    </w:p>
    <w:p w:rsidR="00037050" w:rsidRPr="004F0A51" w:rsidRDefault="00037050" w:rsidP="004F0A51">
      <w:pPr>
        <w:keepNext/>
        <w:spacing w:after="0"/>
        <w:jc w:val="center"/>
        <w:outlineLvl w:val="2"/>
        <w:rPr>
          <w:rFonts w:eastAsia="Times New Roman" w:cs="Arial"/>
          <w:b/>
        </w:rPr>
      </w:pPr>
      <w:r w:rsidRPr="00037050">
        <w:rPr>
          <w:rFonts w:eastAsia="Times New Roman" w:cs="Arial"/>
          <w:b/>
        </w:rPr>
        <w:t>Članak 2.</w:t>
      </w:r>
    </w:p>
    <w:p w:rsidR="00037050" w:rsidRDefault="00037050" w:rsidP="00037050">
      <w:pPr>
        <w:keepNext/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>Trgovačka društva:</w:t>
      </w:r>
    </w:p>
    <w:p w:rsidR="00037050" w:rsidRDefault="00037050" w:rsidP="00037050">
      <w:pPr>
        <w:pStyle w:val="Odlomakpopisa"/>
        <w:keepNext/>
        <w:numPr>
          <w:ilvl w:val="0"/>
          <w:numId w:val="1"/>
        </w:numPr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 xml:space="preserve">Komunalno poduzeće Nova Rača d.o.o. </w:t>
      </w:r>
    </w:p>
    <w:p w:rsidR="00037050" w:rsidRDefault="00037050" w:rsidP="00037050">
      <w:pPr>
        <w:keepNext/>
        <w:spacing w:after="0"/>
        <w:outlineLvl w:val="2"/>
        <w:rPr>
          <w:rFonts w:eastAsia="Times New Roman" w:cs="Arial"/>
        </w:rPr>
      </w:pPr>
    </w:p>
    <w:p w:rsidR="00037050" w:rsidRDefault="00037050" w:rsidP="00037050">
      <w:pPr>
        <w:keepNext/>
        <w:spacing w:after="0"/>
        <w:outlineLvl w:val="2"/>
        <w:rPr>
          <w:rFonts w:eastAsia="Times New Roman" w:cs="Arial"/>
        </w:rPr>
      </w:pPr>
    </w:p>
    <w:p w:rsidR="00037050" w:rsidRPr="004F0A51" w:rsidRDefault="00037050" w:rsidP="004F0A51">
      <w:pPr>
        <w:keepNext/>
        <w:spacing w:after="0"/>
        <w:jc w:val="center"/>
        <w:outlineLvl w:val="2"/>
        <w:rPr>
          <w:rFonts w:eastAsia="Times New Roman" w:cs="Arial"/>
          <w:b/>
        </w:rPr>
      </w:pPr>
      <w:r w:rsidRPr="00037050">
        <w:rPr>
          <w:rFonts w:eastAsia="Times New Roman" w:cs="Arial"/>
          <w:b/>
        </w:rPr>
        <w:t>Članak 3.</w:t>
      </w:r>
    </w:p>
    <w:p w:rsidR="00037050" w:rsidRPr="00037050" w:rsidRDefault="00037050" w:rsidP="00037050">
      <w:pPr>
        <w:keepNext/>
        <w:spacing w:after="0"/>
        <w:outlineLvl w:val="2"/>
        <w:rPr>
          <w:rFonts w:eastAsia="Times New Roman" w:cs="Arial"/>
        </w:rPr>
      </w:pPr>
      <w:r>
        <w:rPr>
          <w:rFonts w:eastAsia="Times New Roman" w:cs="Arial"/>
        </w:rPr>
        <w:t>Ova Odluka stupa na snagu osmog dana od dana objave u „Županijskom glasniku“ Bjelovarsko-bilogorske županije.</w:t>
      </w:r>
    </w:p>
    <w:p w:rsidR="00037050" w:rsidRDefault="00037050" w:rsidP="00037050"/>
    <w:p w:rsidR="00037050" w:rsidRDefault="00037050" w:rsidP="004F0A51">
      <w:r>
        <w:t>KLASA:</w:t>
      </w:r>
      <w:r w:rsidR="004F0A51">
        <w:t xml:space="preserve"> 021-05/16-01/01</w:t>
      </w:r>
    </w:p>
    <w:p w:rsidR="00037050" w:rsidRDefault="00037050" w:rsidP="004F0A51">
      <w:r>
        <w:t>URBROJ: 2103/04-02-16-1</w:t>
      </w:r>
    </w:p>
    <w:p w:rsidR="00037050" w:rsidRPr="004F0A51" w:rsidRDefault="004F0A51" w:rsidP="004F0A51">
      <w:r>
        <w:t>Nova Rača, 3. ožujka 2016.</w:t>
      </w:r>
    </w:p>
    <w:p w:rsidR="00037050" w:rsidRPr="004F0A51" w:rsidRDefault="00037050" w:rsidP="004F0A51">
      <w:pPr>
        <w:jc w:val="center"/>
        <w:rPr>
          <w:b/>
        </w:rPr>
      </w:pPr>
      <w:r w:rsidRPr="004F0A51">
        <w:rPr>
          <w:b/>
        </w:rPr>
        <w:t>OPĆINSKO VIJEĆE OPĆINE NOVA RAČA</w:t>
      </w:r>
    </w:p>
    <w:p w:rsidR="00037050" w:rsidRDefault="00037050" w:rsidP="00037050"/>
    <w:p w:rsidR="00037050" w:rsidRPr="004F0A51" w:rsidRDefault="00037050" w:rsidP="0003705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0A51">
        <w:rPr>
          <w:b/>
        </w:rPr>
        <w:t>PREDSJEDNIK</w:t>
      </w:r>
    </w:p>
    <w:p w:rsidR="00037050" w:rsidRPr="004F0A51" w:rsidRDefault="00037050" w:rsidP="00037050">
      <w:pPr>
        <w:rPr>
          <w:b/>
        </w:rPr>
      </w:pP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Pr="004F0A51">
        <w:rPr>
          <w:b/>
        </w:rPr>
        <w:tab/>
      </w:r>
      <w:r w:rsidR="004F0A51" w:rsidRPr="004F0A51">
        <w:rPr>
          <w:b/>
        </w:rPr>
        <w:t xml:space="preserve">     </w:t>
      </w:r>
      <w:r w:rsidR="004F0A51">
        <w:rPr>
          <w:b/>
        </w:rPr>
        <w:t>OPĆINSKOG VIJEĆA</w:t>
      </w:r>
    </w:p>
    <w:p w:rsidR="00037050" w:rsidRDefault="00037050" w:rsidP="000370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A51">
        <w:t xml:space="preserve"> </w:t>
      </w:r>
      <w:r>
        <w:t>Željko Biščan</w:t>
      </w:r>
    </w:p>
    <w:sectPr w:rsidR="0003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090F"/>
    <w:multiLevelType w:val="hybridMultilevel"/>
    <w:tmpl w:val="B6846478"/>
    <w:lvl w:ilvl="0" w:tplc="60B69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D3"/>
    <w:rsid w:val="0003179E"/>
    <w:rsid w:val="00037050"/>
    <w:rsid w:val="0011746D"/>
    <w:rsid w:val="001A1A69"/>
    <w:rsid w:val="00262744"/>
    <w:rsid w:val="004F0A51"/>
    <w:rsid w:val="008449CF"/>
    <w:rsid w:val="009F5582"/>
    <w:rsid w:val="00B64155"/>
    <w:rsid w:val="00D676D3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1605-8694-43CE-B05B-C3D0B776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4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05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7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znovak</dc:creator>
  <cp:keywords/>
  <dc:description/>
  <cp:lastModifiedBy>znovak</cp:lastModifiedBy>
  <cp:revision>5</cp:revision>
  <cp:lastPrinted>2016-03-10T10:17:00Z</cp:lastPrinted>
  <dcterms:created xsi:type="dcterms:W3CDTF">2016-02-22T09:25:00Z</dcterms:created>
  <dcterms:modified xsi:type="dcterms:W3CDTF">2016-03-29T10:19:00Z</dcterms:modified>
</cp:coreProperties>
</file>