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6f958584445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35062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NOVA RAČA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1.791.207,22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2.190.978,44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1.593.568,02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2.029.549,62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197.639,20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161.428,82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10.042,49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63.848,41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297.932,00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443.099,06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287.889,51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379.250,65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386.610,10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57.681,03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40.100,98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40.100,98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257.922,81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prihodi poslovanja odnose se najvećim dijelom od poreza na dohodak i fiskalnog izravnanja. Kapitalni prihodi ostvareni su kako za adaptaciju tako i izgradnju novih i uređenje postojećih objekata. </w:t>
      </w:r>
    </w:p>
    <w:p>
      <w:r>
        <w:t xml:space="preserve">Rashodi poslovanja ostvareni su više u odnosu na prošlu godinu zato što su u projektu zapošljavanja pomoći u kući žene bile zaposlene čitavu godinu.</w:t>
      </w:r>
    </w:p>
    <w:p>
      <w:r>
        <w:t xml:space="preserve">Prihodi od prodaje nefinancijske imovine odnose se najvećim dijelom na prodaju državnog poljoprivrednog zemljišta te manjim dijelom općinskog. Rashodi za nabavu nefinancijske imovine odnose se na izgradnju, adaptaciju i poboljšanje postojećih  objekata. </w:t>
      </w:r>
    </w:p>
    <w:p>
      <w:r>
        <w:t xml:space="preserve">Izdaci za financijsku imovinu i otplatu zahtjeva su ostvareni za dospjele rate dugoročnog kredita, prekoračenja po žiro-računu i uplatu udjela.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Povrat poreza na dohodak po godišnjoj prijavi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84.635,67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106.458,20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r>
        <w:t xml:space="preserve">Povrat poreza ostvaren je više jer je Općina ušla u  višu skupinu razvijenosti te više nema oslobođenja 50%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8.572,73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423,2</w:t>
            </w:r>
          </w:p>
        </w:tc>
      </w:tr>
    </w:tbl>
    <w:p>
      <w:pPr>
        <w:spacing w:before="0" w:after="0"/>
      </w:pPr>
    </w:p>
    <w:p>
      <w:r>
        <w:t xml:space="preserve">U vrijeme korone sukladno općinskoj odluci ugostitelji sa područja Općine bili su oslobođeni plaćanja poreza na potrošnju. Poslije završetka ponovno se isti naplaćuje.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787.491,31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155.853,86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19,8</w:t>
            </w:r>
          </w:p>
        </w:tc>
      </w:tr>
    </w:tbl>
    <w:p>
      <w:pPr>
        <w:spacing w:before="0" w:after="0"/>
      </w:pPr>
    </w:p>
    <w:p>
      <w:r>
        <w:t xml:space="preserve">Odnose se na pomoći: fiskalna održivost vrtića, funkcionalno spajanje općina, sredstva Zaželi iz nacionalnog programa, komunalnu opremu i predavanje na temu komunalnog reda,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65.469,59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163.835,94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250,2</w:t>
            </w:r>
          </w:p>
        </w:tc>
      </w:tr>
    </w:tbl>
    <w:p>
      <w:pPr>
        <w:spacing w:before="0" w:after="0"/>
      </w:pPr>
    </w:p>
    <w:p>
      <w:r>
        <w:t xml:space="preserve">U odnosu na 2024. ostvareni su više jer su zaposlene cijele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44.519,17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71.302,85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160,2</w:t>
            </w:r>
          </w:p>
        </w:tc>
      </w:tr>
    </w:tbl>
    <w:p>
      <w:pPr>
        <w:spacing w:before="0" w:after="0"/>
      </w:pPr>
    </w:p>
    <w:p>
      <w:r>
        <w:t xml:space="preserve">Prihod od šumskog doprinosa ovisi o eksploataciji drveta na 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241.606,23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389.837,23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161,4</w:t>
            </w:r>
          </w:p>
        </w:tc>
      </w:tr>
    </w:tbl>
    <w:p>
      <w:pPr>
        <w:spacing w:before="0" w:after="0"/>
      </w:pPr>
    </w:p>
    <w:p>
      <w:r>
        <w:t xml:space="preserve">Trošak plaće uključuje zaposlene i projekt Zaželi.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711.726,00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Troškovi za usluge tekućeg i investicijskog održavanja odnose se na održavanje općinske imovine jer Općini pripada 13 naselja.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16.577,40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44.746,31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269,9</w:t>
            </w:r>
          </w:p>
        </w:tc>
      </w:tr>
    </w:tbl>
    <w:p>
      <w:pPr>
        <w:spacing w:before="0" w:after="0"/>
      </w:pPr>
    </w:p>
    <w:p>
      <w:r>
        <w:t xml:space="preserve">U 2025. održani su predsjednički i lokalni izbori. Neplanirano obračun izbora radila je Općina.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171.806,72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172.826,20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</w:tbl>
    <w:p>
      <w:pPr>
        <w:spacing w:before="0" w:after="0"/>
      </w:pPr>
    </w:p>
    <w:p>
      <w:r>
        <w:t xml:space="preserve">Rashodi se odnose na ukupne troškove vrtića jer Općina u potpunosti financira troškove vrtića, a roditelji su u potpunosti oslobođeni,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83.737,25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153.246,82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183,0</w:t>
            </w:r>
          </w:p>
        </w:tc>
      </w:tr>
    </w:tbl>
    <w:p>
      <w:pPr>
        <w:spacing w:before="0" w:after="0"/>
      </w:pPr>
    </w:p>
    <w:p>
      <w:r>
        <w:t xml:space="preserve">Od pomoći je najznačajniji izdatak za uskrsnice i božićnice umirovljenicima 72.400,00€, osobama sa invaliditetom, pomoć studentima, novorođenčadi, bilježnice osnovnoškolcima, sufinanciranje vanjskih vrtića, sufinanciranje učenja stranog jezika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211.310,79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218.607,02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Općina podržava rad lokalnih udruga, lokalne knjižnice, dariva djecu sa svetog Nikolu,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8.954,74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61.338,30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685,0</w:t>
            </w:r>
          </w:p>
        </w:tc>
      </w:tr>
    </w:tbl>
    <w:p>
      <w:pPr>
        <w:spacing w:before="0" w:after="0"/>
      </w:pPr>
    </w:p>
    <w:p>
      <w:r>
        <w:t xml:space="preserve">Prodano je zemljište u vlasnišvu Općine koje je naslijeđeno od osoba bez nasljednika.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153.311,03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273.225,92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178,2</w:t>
            </w:r>
          </w:p>
        </w:tc>
      </w:tr>
    </w:tbl>
    <w:p>
      <w:pPr>
        <w:spacing w:before="0" w:after="0"/>
      </w:pPr>
    </w:p>
    <w:p>
      <w:r>
        <w:t xml:space="preserve">Uloženo je u postojeći i budući dječji vrtić 72.987,50€, u proširenje poduzetničke zone, adaptaciju seoskih domova 177.034,14€, izgradnju novog dječjeg igrališta 74.846,25€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59.830,07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395,8</w:t>
            </w:r>
          </w:p>
        </w:tc>
      </w:tr>
    </w:tbl>
    <w:p>
      <w:pPr>
        <w:spacing w:before="0" w:after="0"/>
      </w:pPr>
    </w:p>
    <w:p>
      <w:r>
        <w:t xml:space="preserve">Nabavljena je nova komunalna oprema za komunalno poduzeće značajnije  mini bager i kosilica.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22.600,55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18.080,44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</w:t>
            </w:r>
          </w:p>
        </w:tc>
      </w:tr>
    </w:tbl>
    <w:p>
      <w:pPr>
        <w:spacing w:before="0" w:after="0"/>
      </w:pPr>
    </w:p>
    <w:p>
      <w:r>
        <w:t xml:space="preserve">odnosi se na isplatu dugoročnog kredita dospjele rate.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20.520,54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Djelomično je podmireno prekoračenje žiro-računa.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2.868.851,41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3.483.999,45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Ulaganja su izvršena u postojeći dječji vrtić, novi vrtić, seoske domove 197.031,14€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23.955,04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Krajem 2025. obveze Općine iznose 914.449,91€. Obaveze za rashode poslovanja  nedospjele su: plaće za zaposlene u jedinici lokalne samouprave  i programu Zaželi. Obaveze za nabavu nefinancijske imovine su također nedospjele,  a odnose se na dovršetak uređenja seoskog doma za koji je okončana situacija napravljena na kraju godine. Nedospjele obaveze za nabavu nefinancijske imovine su za otplatu nedospjelih rata dugoročnog zaduživanja i nedospjelo kratkoročno zaduživanje. Nedospjele obaveze za predujmove, depozite i jamčevne pologe odnose se najvećim dijelom na predujam pomoći u kući.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Sredstva programa pomoći u kući ostvarena su za zapošljavanje 12 žena koje su zaposlenice Općine, a rashodi koji se ostvaruju sukladno Programu.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66d5c4ebf4d33" /></Relationships>
</file>